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02"/>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28" w:name="RQ1"/>
    <w:p>
      <w:pPr>
        <w:pStyle w:val="Heading3"/>
      </w:pPr>
      <w:r>
        <w:rPr>
          <w:rStyle w:val="SectionNumber"/>
        </w:rPr>
        <w:t xml:space="preserve">1.3.1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03"/>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03"/>
        </w:numPr>
        <w:pStyle w:val="Compact"/>
      </w:pPr>
      <w:r>
        <w:t xml:space="preserve">they have given me an awareness of the evolving response to GDPR from data-holding organisations and an understanding of the limits of what is and is not possible with GDPR.</w:t>
      </w:r>
    </w:p>
    <w:p>
      <w:pPr>
        <w:numPr>
          <w:ilvl w:val="0"/>
          <w:numId w:val="1003"/>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72"/>
    <w:bookmarkStart w:id="81" w:name="Xe1195d645f2e2f1de148df89615c120af8e740a"/>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ecfb0067f356894b6b052ef3c3554dc7fb3f814"/>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2c7dc39f7a599e653154733c2f9c606bee5474c"/>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2cfcb24d6c64f12981ef2116fb2dcd5e22aa0c4"/>
    <w:p>
      <w:pPr>
        <w:pStyle w:val="Heading2"/>
      </w:pPr>
      <w:r>
        <w:rPr>
          <w:rStyle w:val="SectionNumber"/>
        </w:rPr>
        <w:t xml:space="preserve">1.6</w:t>
      </w:r>
      <w:r>
        <w:tab/>
      </w:r>
      <w:r>
        <w:t xml:space="preserve">Summation: Towards an Understanding of Better Data Relations</w:t>
      </w:r>
    </w:p>
    <w:p>
      <w:pPr>
        <w:pStyle w:val="CaptionedFigure"/>
      </w:pPr>
      <w:bookmarkStart w:id="94" w:name="figure-3.14"/>
      <w:r>
        <w:drawing>
          <wp:inline>
            <wp:extent cx="5334000" cy="7054744"/>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7054744"/>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2022-08-26T10:07:44Z</dcterms:created>
  <dcterms:modified xsi:type="dcterms:W3CDTF">2022-08-26T10:07:44Z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